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35" w:rsidRPr="00761EAA" w:rsidRDefault="003F5535" w:rsidP="00D579E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761EAA">
        <w:rPr>
          <w:rFonts w:ascii="GHEA Grapalat" w:hAnsi="GHEA Grapalat" w:cs="Sylfaen"/>
          <w:sz w:val="16"/>
          <w:szCs w:val="16"/>
          <w:lang w:val="hy-AM"/>
        </w:rPr>
        <w:t xml:space="preserve">Հավելված N </w:t>
      </w:r>
      <w:r w:rsidR="00E87B8C" w:rsidRPr="00761EAA">
        <w:rPr>
          <w:rFonts w:ascii="GHEA Grapalat" w:hAnsi="GHEA Grapalat" w:cs="Sylfaen"/>
          <w:sz w:val="16"/>
          <w:szCs w:val="16"/>
        </w:rPr>
        <w:t>6</w:t>
      </w:r>
    </w:p>
    <w:p w:rsidR="003F5535" w:rsidRPr="00761EAA" w:rsidRDefault="003F5535" w:rsidP="001814A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761EAA">
        <w:rPr>
          <w:rFonts w:ascii="GHEA Grapalat" w:hAnsi="GHEA Grapalat" w:cs="Sylfaen"/>
          <w:sz w:val="16"/>
          <w:szCs w:val="16"/>
        </w:rPr>
        <w:t>Արդարադատության</w:t>
      </w:r>
      <w:proofErr w:type="spellEnd"/>
      <w:r w:rsidRPr="00761EAA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761EAA">
        <w:rPr>
          <w:rFonts w:ascii="GHEA Grapalat" w:hAnsi="GHEA Grapalat" w:cs="Sylfaen"/>
          <w:sz w:val="16"/>
          <w:szCs w:val="16"/>
        </w:rPr>
        <w:t>նախարարության</w:t>
      </w:r>
      <w:proofErr w:type="spellEnd"/>
    </w:p>
    <w:p w:rsidR="003F5535" w:rsidRPr="00761EAA" w:rsidRDefault="003F5535" w:rsidP="001814A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proofErr w:type="spellStart"/>
      <w:proofErr w:type="gramStart"/>
      <w:r w:rsidRPr="00761EAA">
        <w:rPr>
          <w:rFonts w:ascii="GHEA Grapalat" w:hAnsi="GHEA Grapalat" w:cs="Sylfaen"/>
          <w:sz w:val="16"/>
          <w:szCs w:val="16"/>
        </w:rPr>
        <w:t>գլխավոր</w:t>
      </w:r>
      <w:proofErr w:type="spellEnd"/>
      <w:proofErr w:type="gramEnd"/>
      <w:r w:rsidRPr="00761EAA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761EAA">
        <w:rPr>
          <w:rFonts w:ascii="GHEA Grapalat" w:hAnsi="GHEA Grapalat" w:cs="Sylfaen"/>
          <w:sz w:val="16"/>
          <w:szCs w:val="16"/>
        </w:rPr>
        <w:t>քարտուղարի</w:t>
      </w:r>
      <w:proofErr w:type="spellEnd"/>
      <w:r w:rsidRPr="00761EAA">
        <w:rPr>
          <w:rFonts w:ascii="GHEA Grapalat" w:hAnsi="GHEA Grapalat" w:cs="Sylfaen"/>
          <w:sz w:val="16"/>
          <w:szCs w:val="16"/>
          <w:lang w:val="hy-AM"/>
        </w:rPr>
        <w:t xml:space="preserve"> 20</w:t>
      </w:r>
      <w:r w:rsidRPr="00761EAA">
        <w:rPr>
          <w:rFonts w:ascii="GHEA Grapalat" w:hAnsi="GHEA Grapalat" w:cs="Sylfaen"/>
          <w:sz w:val="16"/>
          <w:szCs w:val="16"/>
        </w:rPr>
        <w:t>19</w:t>
      </w:r>
      <w:r w:rsidRPr="00761EAA">
        <w:rPr>
          <w:rFonts w:ascii="GHEA Grapalat" w:hAnsi="GHEA Grapalat" w:cs="Sylfaen"/>
          <w:sz w:val="16"/>
          <w:szCs w:val="16"/>
          <w:lang w:val="hy-AM"/>
        </w:rPr>
        <w:t xml:space="preserve"> թ. </w:t>
      </w:r>
    </w:p>
    <w:p w:rsidR="003F5535" w:rsidRPr="00761EAA" w:rsidRDefault="003F5535" w:rsidP="001814A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color w:val="000000" w:themeColor="text1"/>
          <w:sz w:val="16"/>
          <w:szCs w:val="16"/>
          <w:lang w:val="hy-AM"/>
        </w:rPr>
      </w:pPr>
      <w:r w:rsidRPr="00761EAA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հոկտեմբերի  29-ի N 939-Ա հրամանի</w:t>
      </w:r>
    </w:p>
    <w:p w:rsidR="003F5535" w:rsidRPr="00761EAA" w:rsidRDefault="003F5535" w:rsidP="001814A5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16"/>
          <w:szCs w:val="16"/>
          <w:lang w:val="hy-AM"/>
        </w:rPr>
      </w:pPr>
    </w:p>
    <w:p w:rsidR="003F5535" w:rsidRPr="00761EAA" w:rsidRDefault="003F5535" w:rsidP="00761EAA">
      <w:pPr>
        <w:tabs>
          <w:tab w:val="left" w:pos="851"/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3F5535" w:rsidRPr="00761EAA" w:rsidRDefault="003F5535" w:rsidP="001814A5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Արդարադատության նախարարության  իրավաբանական անձանց պետական ռեգիստրի գործակալության </w:t>
      </w:r>
      <w:r w:rsidR="00E87B8C"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Երևան քաղաքի սպասարկման</w:t>
      </w:r>
      <w:r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բաժնի</w:t>
      </w:r>
      <w:r w:rsidRPr="00761EA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քաղաքացիական ծառայության պաշտոնների </w:t>
      </w:r>
      <w:r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 սահմանվող մասնագիտական գիտելիքների շրջանակը և աղբյուրները</w:t>
      </w:r>
    </w:p>
    <w:p w:rsidR="002811DD" w:rsidRPr="00761EAA" w:rsidRDefault="002811DD" w:rsidP="001814A5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E21CD" w:rsidRPr="00761EAA" w:rsidRDefault="00FE21CD" w:rsidP="001814A5">
      <w:pPr>
        <w:pStyle w:val="ListParagraph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61EAA">
        <w:rPr>
          <w:rFonts w:ascii="GHEA Grapalat" w:hAnsi="GHEA Grapalat" w:cs="Sylfaen"/>
          <w:b/>
          <w:i/>
          <w:sz w:val="24"/>
          <w:szCs w:val="24"/>
          <w:lang w:val="hy-AM"/>
        </w:rPr>
        <w:t>Իրավական</w:t>
      </w:r>
      <w:r w:rsidR="002811DD" w:rsidRPr="00761EAA">
        <w:rPr>
          <w:rFonts w:ascii="GHEA Grapalat" w:hAnsi="GHEA Grapalat" w:cs="Sylfaen"/>
          <w:b/>
          <w:i/>
          <w:sz w:val="24"/>
          <w:szCs w:val="24"/>
          <w:lang w:val="ru-RU"/>
        </w:rPr>
        <w:t xml:space="preserve"> </w:t>
      </w:r>
      <w:r w:rsidRPr="00761EAA">
        <w:rPr>
          <w:rFonts w:ascii="GHEA Grapalat" w:hAnsi="GHEA Grapalat" w:cs="Sylfaen"/>
          <w:b/>
          <w:i/>
          <w:sz w:val="24"/>
          <w:szCs w:val="24"/>
          <w:lang w:val="hy-AM"/>
        </w:rPr>
        <w:t>գիտելիքներ</w:t>
      </w:r>
    </w:p>
    <w:p w:rsidR="00F27E8A" w:rsidRPr="00761EAA" w:rsidRDefault="00F27E8A" w:rsidP="001814A5">
      <w:pPr>
        <w:spacing w:after="0"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FE21CD" w:rsidRPr="00761EAA" w:rsidRDefault="002811DD" w:rsidP="001814A5">
      <w:pPr>
        <w:pStyle w:val="ListParagraph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61EAA">
        <w:rPr>
          <w:rFonts w:ascii="GHEA Grapalat" w:hAnsi="GHEA Grapalat" w:cs="Sylfaen"/>
          <w:b/>
          <w:sz w:val="24"/>
          <w:szCs w:val="24"/>
          <w:lang w:val="hy-AM"/>
        </w:rPr>
        <w:t xml:space="preserve">Իրավաբանական անձանց պետական ռեգիստրի գործակալության </w:t>
      </w:r>
      <w:r w:rsidR="00FE21CD" w:rsidRPr="00761EAA">
        <w:rPr>
          <w:rFonts w:ascii="GHEA Grapalat" w:hAnsi="GHEA Grapalat"/>
          <w:b/>
          <w:sz w:val="24"/>
          <w:szCs w:val="24"/>
          <w:lang w:val="hy-AM"/>
        </w:rPr>
        <w:t xml:space="preserve">գործունեության ոլորտը կարգավորող </w:t>
      </w:r>
      <w:r w:rsidR="003411DB" w:rsidRPr="00761EAA">
        <w:rPr>
          <w:rFonts w:ascii="GHEA Grapalat" w:hAnsi="GHEA Grapalat"/>
          <w:b/>
          <w:sz w:val="24"/>
          <w:szCs w:val="24"/>
          <w:lang w:val="hy-AM"/>
        </w:rPr>
        <w:t xml:space="preserve">և տվյալ </w:t>
      </w:r>
      <w:r w:rsidR="00761EAA"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բաժնի</w:t>
      </w:r>
      <w:r w:rsidR="00761EAA" w:rsidRPr="00761EA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քաղաքացիական ծառայության պաշտոնների</w:t>
      </w:r>
      <w:r w:rsidR="003411DB" w:rsidRPr="00761EAA">
        <w:rPr>
          <w:rFonts w:ascii="GHEA Grapalat" w:hAnsi="GHEA Grapalat"/>
          <w:b/>
          <w:sz w:val="24"/>
          <w:szCs w:val="24"/>
          <w:lang w:val="hy-AM"/>
        </w:rPr>
        <w:t xml:space="preserve"> առանձնահատկություններից բխող </w:t>
      </w:r>
      <w:r w:rsidR="00FE21CD" w:rsidRPr="00761EAA">
        <w:rPr>
          <w:rFonts w:ascii="GHEA Grapalat" w:hAnsi="GHEA Grapalat"/>
          <w:b/>
          <w:sz w:val="24"/>
          <w:szCs w:val="24"/>
          <w:lang w:val="hy-AM"/>
        </w:rPr>
        <w:t>օրենքների իմացություն</w:t>
      </w:r>
      <w:r w:rsidR="00D965C0" w:rsidRPr="00761EA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ա. ՀՀ Սահմանադրություն.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բ. «Քաղաքացիական ծառայության մասին» օրենք.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 w:cs="Sylfaen"/>
          <w:iCs/>
          <w:sz w:val="24"/>
          <w:szCs w:val="24"/>
          <w:lang w:val="hy-AM"/>
        </w:rPr>
        <w:t>գ.</w:t>
      </w:r>
      <w:r w:rsidRPr="00761EAA">
        <w:rPr>
          <w:rFonts w:ascii="GHEA Grapalat" w:hAnsi="GHEA Grapalat"/>
          <w:iCs/>
          <w:sz w:val="24"/>
          <w:szCs w:val="24"/>
          <w:lang w:val="hy-AM"/>
        </w:rPr>
        <w:t xml:space="preserve"> «Նորմատիվ իրավական ակտերի մասին» օրենք.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դ. «</w:t>
      </w:r>
      <w:r w:rsidRPr="00761EAA">
        <w:rPr>
          <w:rFonts w:ascii="GHEA Grapalat" w:hAnsi="GHEA Grapalat"/>
          <w:bCs/>
          <w:iCs/>
          <w:sz w:val="24"/>
          <w:szCs w:val="24"/>
          <w:lang w:val="hy-AM"/>
        </w:rPr>
        <w:t>Վարչարարության հիմունքների և վարչական վարույթի մասին» օրենք.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761EAA">
        <w:rPr>
          <w:rFonts w:ascii="GHEA Grapalat" w:hAnsi="GHEA Grapalat" w:cs="Sylfaen"/>
          <w:iCs/>
          <w:sz w:val="24"/>
          <w:szCs w:val="24"/>
          <w:lang w:val="hy-AM"/>
        </w:rPr>
        <w:t>ե.</w:t>
      </w:r>
      <w:r w:rsidRPr="00761EAA">
        <w:rPr>
          <w:rFonts w:ascii="GHEA Grapalat" w:hAnsi="GHEA Grapalat"/>
          <w:iCs/>
          <w:sz w:val="24"/>
          <w:szCs w:val="24"/>
          <w:lang w:val="hy-AM"/>
        </w:rPr>
        <w:t xml:space="preserve"> ՀՀ ք</w:t>
      </w:r>
      <w:r w:rsidRPr="00761EAA">
        <w:rPr>
          <w:rFonts w:ascii="GHEA Grapalat" w:hAnsi="GHEA Grapalat" w:cs="Sylfaen"/>
          <w:iCs/>
          <w:sz w:val="24"/>
          <w:szCs w:val="24"/>
          <w:lang w:val="hy-AM"/>
        </w:rPr>
        <w:t>աղաքացիական օրենսգիրք (գլուխ 5, հոդված 24, 321-325).</w:t>
      </w:r>
      <w:r w:rsidRPr="00761EAA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զ.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</w:t>
      </w:r>
      <w:r w:rsidR="00834B4E">
        <w:rPr>
          <w:rFonts w:ascii="GHEA Grapalat" w:hAnsi="GHEA Grapalat"/>
          <w:iCs/>
          <w:sz w:val="24"/>
          <w:szCs w:val="24"/>
          <w:lang w:val="hy-AM"/>
        </w:rPr>
        <w:t>»</w:t>
      </w:r>
      <w:r w:rsidRPr="00761EAA">
        <w:rPr>
          <w:rFonts w:ascii="GHEA Grapalat" w:hAnsi="GHEA Grapalat"/>
          <w:iCs/>
          <w:sz w:val="24"/>
          <w:szCs w:val="24"/>
          <w:lang w:val="hy-AM"/>
        </w:rPr>
        <w:t xml:space="preserve"> օրենք.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է. «Պետական տուրքի մասին» ՀՀ օրենք (հոդված 16, կետեր 1-3.2, 20-րդ հոդվածի 31-րդ կետ).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ը. «Սահմանափակ պատասխանատվությամբ ընկերությունների մասին» օրենք (գլուխ 1-3).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թ. «Բաժնետիրական ընկերությունների մասին» օրենք (հոդված 2, 5, 8-11, 14-18, 27-29, 30).</w:t>
      </w:r>
    </w:p>
    <w:p w:rsidR="00761EAA" w:rsidRPr="00761EAA" w:rsidRDefault="00761EAA" w:rsidP="00761EA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761EAA">
        <w:rPr>
          <w:rFonts w:ascii="GHEA Grapalat" w:hAnsi="GHEA Grapalat"/>
          <w:iCs/>
          <w:sz w:val="24"/>
          <w:szCs w:val="24"/>
          <w:lang w:val="hy-AM"/>
        </w:rPr>
        <w:t>ժ. «Անհատ ձեռնարկատիրոջ մասին» օրենք:</w:t>
      </w:r>
    </w:p>
    <w:p w:rsidR="001814A5" w:rsidRPr="00761EAA" w:rsidRDefault="001814A5" w:rsidP="001814A5">
      <w:pPr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:rsidR="001814A5" w:rsidRPr="00761EAA" w:rsidRDefault="001814A5" w:rsidP="001814A5">
      <w:pPr>
        <w:pStyle w:val="ListParagraph"/>
        <w:numPr>
          <w:ilvl w:val="0"/>
          <w:numId w:val="21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)  Արդարադատության նախարարության</w:t>
      </w:r>
      <w:r w:rsidRPr="00761EAA">
        <w:rPr>
          <w:rFonts w:ascii="GHEA Grapalat" w:hAnsi="GHEA Grapalat" w:cs="Sylfaen"/>
          <w:b/>
          <w:color w:val="00B0F0"/>
          <w:sz w:val="24"/>
          <w:szCs w:val="24"/>
          <w:lang w:val="hy-AM"/>
        </w:rPr>
        <w:t xml:space="preserve"> </w:t>
      </w:r>
      <w:r w:rsidRPr="00761EAA">
        <w:rPr>
          <w:rFonts w:ascii="GHEA Grapalat" w:hAnsi="GHEA Grapalat"/>
          <w:b/>
          <w:iCs/>
          <w:sz w:val="24"/>
          <w:szCs w:val="24"/>
          <w:lang w:val="hy-AM"/>
        </w:rPr>
        <w:t>գործունեության ոլորտը կարգավորող և տվյալ</w:t>
      </w:r>
      <w:r w:rsidRPr="00761EA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բաժնի </w:t>
      </w:r>
      <w:r w:rsidRPr="00761EA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քաղաքացիական ծառայության պաշտոնների</w:t>
      </w:r>
      <w:r w:rsidRPr="00761EAA">
        <w:rPr>
          <w:rFonts w:ascii="GHEA Grapalat" w:hAnsi="GHEA Grapalat"/>
          <w:b/>
          <w:iCs/>
          <w:sz w:val="24"/>
          <w:szCs w:val="24"/>
          <w:lang w:val="hy-AM"/>
        </w:rPr>
        <w:t xml:space="preserve"> առանձնահատկություններից բխող ենթաօրենսդրական ակտերի իմացություն՝</w:t>
      </w:r>
    </w:p>
    <w:p w:rsidR="00D579E1" w:rsidRPr="00834B4E" w:rsidRDefault="00066964" w:rsidP="00834B4E">
      <w:pPr>
        <w:spacing w:line="276" w:lineRule="auto"/>
        <w:ind w:firstLine="426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066964">
        <w:rPr>
          <w:rFonts w:ascii="GHEA Grapalat" w:hAnsi="GHEA Grapalat" w:cs="Sylfaen"/>
          <w:iCs/>
          <w:sz w:val="24"/>
          <w:szCs w:val="24"/>
          <w:lang w:val="hy-AM"/>
        </w:rPr>
        <w:t>ա.</w:t>
      </w:r>
      <w:r w:rsidR="00761EAA" w:rsidRPr="00761EAA">
        <w:rPr>
          <w:rFonts w:ascii="GHEA Grapalat" w:hAnsi="GHEA Grapalat" w:cs="Sylfaen"/>
          <w:iCs/>
          <w:sz w:val="24"/>
          <w:szCs w:val="24"/>
          <w:lang w:val="hy-AM"/>
        </w:rPr>
        <w:t xml:space="preserve"> Հայաստանի Հանրապետության կառավարության 2002 թվականի նոյեմբերի 28-ի «Հայաստանի Հանրապետության արդարադատության նախարարության աշխատակազմի իրավաբանական անձանց պետական ռեգիստրի գործակալության կանոնադրությունը և կառուցվածքը հաստատելու մասին» թիվ </w:t>
      </w:r>
      <w:r w:rsidR="00761EAA" w:rsidRPr="00066964">
        <w:rPr>
          <w:rFonts w:ascii="GHEA Grapalat" w:hAnsi="GHEA Grapalat" w:cs="Sylfaen"/>
          <w:iCs/>
          <w:color w:val="0070C0"/>
          <w:sz w:val="24"/>
          <w:szCs w:val="24"/>
          <w:u w:val="single"/>
          <w:lang w:val="hy-AM"/>
        </w:rPr>
        <w:t>1918-Ն</w:t>
      </w:r>
      <w:r w:rsidR="00761EAA" w:rsidRPr="00761EAA">
        <w:rPr>
          <w:rFonts w:ascii="GHEA Grapalat" w:hAnsi="GHEA Grapalat" w:cs="Sylfaen"/>
          <w:iCs/>
          <w:color w:val="0070C0"/>
          <w:sz w:val="24"/>
          <w:szCs w:val="24"/>
          <w:lang w:val="hy-AM"/>
        </w:rPr>
        <w:t xml:space="preserve"> </w:t>
      </w:r>
      <w:r w:rsidR="00761EAA" w:rsidRPr="00761EAA">
        <w:rPr>
          <w:rFonts w:ascii="GHEA Grapalat" w:hAnsi="GHEA Grapalat" w:cs="Sylfaen"/>
          <w:iCs/>
          <w:sz w:val="24"/>
          <w:szCs w:val="24"/>
          <w:lang w:val="hy-AM"/>
        </w:rPr>
        <w:t>որոշում:</w:t>
      </w:r>
    </w:p>
    <w:p w:rsidR="00D579E1" w:rsidRPr="00761EAA" w:rsidRDefault="00D579E1" w:rsidP="001814A5">
      <w:pPr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D579E1" w:rsidRPr="00761EAA" w:rsidRDefault="00D579E1" w:rsidP="001814A5">
      <w:pPr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D579E1" w:rsidRPr="00761EAA" w:rsidRDefault="00D579E1" w:rsidP="00D579E1">
      <w:pPr>
        <w:pStyle w:val="NormalWeb"/>
        <w:tabs>
          <w:tab w:val="left" w:pos="108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761EAA">
        <w:rPr>
          <w:rFonts w:ascii="GHEA Grapalat" w:hAnsi="GHEA Grapalat" w:cs="Sylfaen"/>
          <w:lang w:val="hy-AM"/>
        </w:rPr>
        <w:t xml:space="preserve">   </w:t>
      </w:r>
    </w:p>
    <w:p w:rsidR="00D579E1" w:rsidRPr="00761EAA" w:rsidRDefault="00D579E1" w:rsidP="00D579E1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761EAA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Այլ</w:t>
      </w:r>
      <w:r w:rsidRPr="00761EAA">
        <w:rPr>
          <w:rFonts w:ascii="GHEA Grapalat" w:hAnsi="GHEA Grapalat"/>
          <w:b/>
          <w:i/>
          <w:iCs/>
          <w:sz w:val="24"/>
          <w:szCs w:val="24"/>
          <w:lang w:val="hy-AM"/>
        </w:rPr>
        <w:t xml:space="preserve"> </w:t>
      </w:r>
      <w:r w:rsidRPr="00761EAA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գիտելիքներ</w:t>
      </w:r>
    </w:p>
    <w:p w:rsidR="00D579E1" w:rsidRPr="00761EAA" w:rsidRDefault="00D579E1" w:rsidP="00D579E1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:rsidR="00D579E1" w:rsidRPr="00761EAA" w:rsidRDefault="00D579E1" w:rsidP="00D579E1">
      <w:pPr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1EAA">
        <w:rPr>
          <w:rFonts w:ascii="GHEA Grapalat" w:hAnsi="GHEA Grapalat"/>
          <w:b/>
          <w:sz w:val="24"/>
          <w:szCs w:val="24"/>
          <w:lang w:val="hy-AM"/>
        </w:rPr>
        <w:t>Համակարգչից և այլ տեխնիկական միջոցներից օգտվելու համար անհրաժեշտ ծրագրերի  իմացություն</w:t>
      </w:r>
    </w:p>
    <w:p w:rsidR="00D579E1" w:rsidRPr="00761EAA" w:rsidRDefault="00D579E1" w:rsidP="00D579E1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1EAA">
        <w:rPr>
          <w:rFonts w:ascii="GHEA Grapalat" w:hAnsi="GHEA Grapalat" w:cs="Sylfaen"/>
          <w:sz w:val="24"/>
          <w:szCs w:val="24"/>
          <w:lang w:val="hy-AM"/>
        </w:rPr>
        <w:t>ա) Ինֆորմատիկա 7-րդ դասարան։ Դասագիրք հանրակրթական դպրոցի համար։ Ս.Ս.Ավետիսյան, Ա.Վ.Դանիելյան։ Մասնագիտական խմբագիր՝ Ռ.Վ. Աղգաշյան։ Երևան 2012։</w:t>
      </w:r>
    </w:p>
    <w:p w:rsidR="00D579E1" w:rsidRPr="00761EAA" w:rsidRDefault="00341BD4" w:rsidP="00D579E1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5" w:history="1">
        <w:r w:rsidR="00D579E1" w:rsidRPr="00761EAA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http://fliphtml5.com/fumf/egdx</w:t>
        </w:r>
      </w:hyperlink>
    </w:p>
    <w:p w:rsidR="00D579E1" w:rsidRPr="00761EAA" w:rsidRDefault="00D579E1" w:rsidP="00D579E1">
      <w:pPr>
        <w:tabs>
          <w:tab w:val="left" w:pos="1080"/>
          <w:tab w:val="left" w:pos="117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1EAA">
        <w:rPr>
          <w:rFonts w:ascii="GHEA Grapalat" w:hAnsi="GHEA Grapalat" w:cs="Sylfaen"/>
          <w:color w:val="0070C0"/>
          <w:sz w:val="24"/>
          <w:szCs w:val="24"/>
          <w:lang w:val="hy-AM"/>
        </w:rPr>
        <w:t xml:space="preserve"> </w:t>
      </w:r>
      <w:r w:rsidRPr="00761EA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761EAA">
        <w:rPr>
          <w:rFonts w:ascii="GHEA Grapalat" w:hAnsi="GHEA Grapalat" w:cs="Sylfaen"/>
          <w:sz w:val="24"/>
          <w:szCs w:val="24"/>
          <w:lang w:val="hy-AM"/>
        </w:rPr>
        <w:t>)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2013։</w:t>
      </w:r>
    </w:p>
    <w:p w:rsidR="00D579E1" w:rsidRPr="00761EAA" w:rsidRDefault="00341BD4" w:rsidP="00D579E1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6" w:anchor="p=2" w:history="1">
        <w:r w:rsidR="00D579E1" w:rsidRPr="00761EAA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http://online.fliphtml5.com/fumf/irey/#p=2</w:t>
        </w:r>
      </w:hyperlink>
    </w:p>
    <w:p w:rsidR="00D579E1" w:rsidRPr="00761EAA" w:rsidRDefault="00D579E1" w:rsidP="00D579E1">
      <w:pPr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1EAA">
        <w:rPr>
          <w:rFonts w:ascii="GHEA Grapalat" w:hAnsi="GHEA Grapalat"/>
          <w:b/>
          <w:sz w:val="24"/>
          <w:szCs w:val="24"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D579E1" w:rsidRPr="00761EAA" w:rsidRDefault="00D579E1" w:rsidP="00D579E1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1EAA">
        <w:rPr>
          <w:rFonts w:ascii="GHEA Grapalat" w:hAnsi="GHEA Grapalat" w:cs="Sylfaen"/>
          <w:sz w:val="24"/>
          <w:szCs w:val="24"/>
          <w:lang w:val="hy-AM"/>
        </w:rPr>
        <w:t>ա)</w:t>
      </w:r>
      <w:r w:rsidRPr="00761EAA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61EAA">
        <w:rPr>
          <w:rFonts w:ascii="GHEA Grapalat" w:hAnsi="GHEA Grapalat" w:cs="Sylfaen"/>
          <w:sz w:val="24"/>
          <w:szCs w:val="24"/>
          <w:lang w:val="hy-AM"/>
        </w:rPr>
        <w:t>Գրավոր խոսք», Վազգեն Գաբրիելյան, երրորդ լրամշակված հրատարակությունուն, Լիմուշ հրատարակչություն, Երևան 2012 թ., էջեր՝ 70-129:</w:t>
      </w:r>
    </w:p>
    <w:p w:rsidR="00D579E1" w:rsidRPr="00761EAA" w:rsidRDefault="00D579E1" w:rsidP="00D579E1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u w:val="single"/>
          <w:lang w:val="hy-AM"/>
        </w:rPr>
      </w:pPr>
      <w:r w:rsidRPr="00761E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61EAA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http://www.parliament.am/library/books/gravor-khosq.pdf</w:t>
        </w:r>
      </w:hyperlink>
    </w:p>
    <w:p w:rsidR="00D579E1" w:rsidRPr="00761EAA" w:rsidRDefault="00D579E1" w:rsidP="00D579E1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1444" w:rsidRPr="00761EAA" w:rsidRDefault="00231444" w:rsidP="001814A5">
      <w:pPr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79CE" w:rsidRPr="00761EAA" w:rsidRDefault="003E79CE" w:rsidP="001814A5">
      <w:pPr>
        <w:spacing w:after="0" w:line="276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E79CE" w:rsidRPr="00761EAA" w:rsidSect="00761EAA">
      <w:pgSz w:w="11906" w:h="16838" w:code="9"/>
      <w:pgMar w:top="709" w:right="836" w:bottom="99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669"/>
    <w:multiLevelType w:val="hybridMultilevel"/>
    <w:tmpl w:val="46FCA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55EE"/>
    <w:multiLevelType w:val="hybridMultilevel"/>
    <w:tmpl w:val="126E69CA"/>
    <w:lvl w:ilvl="0" w:tplc="2C5C3502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E200923"/>
    <w:multiLevelType w:val="hybridMultilevel"/>
    <w:tmpl w:val="A5729DF8"/>
    <w:lvl w:ilvl="0" w:tplc="C3BEE12A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6EA"/>
    <w:multiLevelType w:val="hybridMultilevel"/>
    <w:tmpl w:val="583C5638"/>
    <w:lvl w:ilvl="0" w:tplc="A0DA79A6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237B67DB"/>
    <w:multiLevelType w:val="hybridMultilevel"/>
    <w:tmpl w:val="7ACA19FA"/>
    <w:lvl w:ilvl="0" w:tplc="E284A8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984209"/>
    <w:multiLevelType w:val="hybridMultilevel"/>
    <w:tmpl w:val="27381100"/>
    <w:lvl w:ilvl="0" w:tplc="618CA7EA">
      <w:start w:val="2"/>
      <w:numFmt w:val="decimal"/>
      <w:lvlText w:val="%1"/>
      <w:lvlJc w:val="left"/>
      <w:pPr>
        <w:ind w:left="108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465704"/>
    <w:multiLevelType w:val="hybridMultilevel"/>
    <w:tmpl w:val="0EECC62E"/>
    <w:lvl w:ilvl="0" w:tplc="3CF2929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B3010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C09F6"/>
    <w:multiLevelType w:val="hybridMultilevel"/>
    <w:tmpl w:val="BEA07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077CC"/>
    <w:multiLevelType w:val="hybridMultilevel"/>
    <w:tmpl w:val="C6C630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0C4DAA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16F4D"/>
    <w:multiLevelType w:val="hybridMultilevel"/>
    <w:tmpl w:val="82CA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06DF2"/>
    <w:multiLevelType w:val="hybridMultilevel"/>
    <w:tmpl w:val="AF747B4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>
    <w:nsid w:val="6BC5220E"/>
    <w:multiLevelType w:val="hybridMultilevel"/>
    <w:tmpl w:val="D82EEA44"/>
    <w:lvl w:ilvl="0" w:tplc="BE8818F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6F9F6733"/>
    <w:multiLevelType w:val="hybridMultilevel"/>
    <w:tmpl w:val="6FB60CD0"/>
    <w:lvl w:ilvl="0" w:tplc="8AF661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1D22"/>
    <w:multiLevelType w:val="hybridMultilevel"/>
    <w:tmpl w:val="30EAE366"/>
    <w:lvl w:ilvl="0" w:tplc="29BED2E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18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13"/>
  </w:num>
  <w:num w:numId="18">
    <w:abstractNumId w:val="19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54775F"/>
    <w:rsid w:val="00007652"/>
    <w:rsid w:val="00050E25"/>
    <w:rsid w:val="000635F9"/>
    <w:rsid w:val="00066964"/>
    <w:rsid w:val="00097F6D"/>
    <w:rsid w:val="000B1A44"/>
    <w:rsid w:val="00113C32"/>
    <w:rsid w:val="00141B1D"/>
    <w:rsid w:val="00161EA9"/>
    <w:rsid w:val="0016746C"/>
    <w:rsid w:val="001814A5"/>
    <w:rsid w:val="001B04F9"/>
    <w:rsid w:val="00212D3A"/>
    <w:rsid w:val="00231444"/>
    <w:rsid w:val="00247D3D"/>
    <w:rsid w:val="002811DD"/>
    <w:rsid w:val="002A18D7"/>
    <w:rsid w:val="002B4B66"/>
    <w:rsid w:val="002E419B"/>
    <w:rsid w:val="00316A40"/>
    <w:rsid w:val="003312BB"/>
    <w:rsid w:val="003411DB"/>
    <w:rsid w:val="00341BD4"/>
    <w:rsid w:val="00373B21"/>
    <w:rsid w:val="00384582"/>
    <w:rsid w:val="003B40A6"/>
    <w:rsid w:val="003B45E0"/>
    <w:rsid w:val="003E79CE"/>
    <w:rsid w:val="003F5535"/>
    <w:rsid w:val="00414F1F"/>
    <w:rsid w:val="00441F45"/>
    <w:rsid w:val="00465386"/>
    <w:rsid w:val="004C0B4B"/>
    <w:rsid w:val="004F3679"/>
    <w:rsid w:val="00504990"/>
    <w:rsid w:val="00546B5F"/>
    <w:rsid w:val="0054775F"/>
    <w:rsid w:val="005F6E15"/>
    <w:rsid w:val="0061203D"/>
    <w:rsid w:val="00653053"/>
    <w:rsid w:val="00661D5C"/>
    <w:rsid w:val="00690E2A"/>
    <w:rsid w:val="006A7E75"/>
    <w:rsid w:val="006B5E1A"/>
    <w:rsid w:val="006F2951"/>
    <w:rsid w:val="00726EDF"/>
    <w:rsid w:val="0074531B"/>
    <w:rsid w:val="00761EAA"/>
    <w:rsid w:val="007626C6"/>
    <w:rsid w:val="007736B7"/>
    <w:rsid w:val="00780F69"/>
    <w:rsid w:val="008000AE"/>
    <w:rsid w:val="00834B4E"/>
    <w:rsid w:val="008839A8"/>
    <w:rsid w:val="008839D2"/>
    <w:rsid w:val="008B04FD"/>
    <w:rsid w:val="008E3D52"/>
    <w:rsid w:val="008F013B"/>
    <w:rsid w:val="008F3832"/>
    <w:rsid w:val="00960E53"/>
    <w:rsid w:val="00987260"/>
    <w:rsid w:val="009E70F4"/>
    <w:rsid w:val="009F5168"/>
    <w:rsid w:val="00A35A0E"/>
    <w:rsid w:val="00A55103"/>
    <w:rsid w:val="00AD0502"/>
    <w:rsid w:val="00AF7345"/>
    <w:rsid w:val="00B25307"/>
    <w:rsid w:val="00B45961"/>
    <w:rsid w:val="00B74B14"/>
    <w:rsid w:val="00C02CEB"/>
    <w:rsid w:val="00C200FE"/>
    <w:rsid w:val="00C4704C"/>
    <w:rsid w:val="00C52EA0"/>
    <w:rsid w:val="00C74F1C"/>
    <w:rsid w:val="00CA4177"/>
    <w:rsid w:val="00CB4966"/>
    <w:rsid w:val="00CC40BF"/>
    <w:rsid w:val="00CF73AD"/>
    <w:rsid w:val="00D01691"/>
    <w:rsid w:val="00D03235"/>
    <w:rsid w:val="00D579E1"/>
    <w:rsid w:val="00D965C0"/>
    <w:rsid w:val="00E87B8C"/>
    <w:rsid w:val="00EB5D13"/>
    <w:rsid w:val="00F21085"/>
    <w:rsid w:val="00F27E8A"/>
    <w:rsid w:val="00F76F40"/>
    <w:rsid w:val="00FE21CD"/>
    <w:rsid w:val="00FF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31444"/>
  </w:style>
  <w:style w:type="paragraph" w:styleId="NormalWeb">
    <w:name w:val="Normal (Web)"/>
    <w:basedOn w:val="Normal"/>
    <w:uiPriority w:val="99"/>
    <w:semiHidden/>
    <w:unhideWhenUsed/>
    <w:rsid w:val="00D5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liament.am/library/books/gravor-khosq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fliphtml5.com/fumf/irey/" TargetMode="External"/><Relationship Id="rId5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keywords>Mulberry 2.0</cp:keywords>
  <cp:lastModifiedBy>A-Mesropyan</cp:lastModifiedBy>
  <cp:revision>22</cp:revision>
  <cp:lastPrinted>2019-09-09T09:14:00Z</cp:lastPrinted>
  <dcterms:created xsi:type="dcterms:W3CDTF">2019-09-11T08:06:00Z</dcterms:created>
  <dcterms:modified xsi:type="dcterms:W3CDTF">2019-10-29T13:05:00Z</dcterms:modified>
</cp:coreProperties>
</file>